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jc w:val="left"/>
      </w:pPr>
      <w:r>
        <w:rPr>
          <w:b w:val="0"/>
          <w:i w:val="0"/>
          <w:sz w:val="28"/>
        </w:rPr>
        <w:t>ООО «Студия Неософт»</w:t>
      </w:r>
    </w:p>
    <w:p>
      <w:pPr>
        <w:jc w:val="left"/>
      </w:pPr>
      <w:r>
        <w:rPr>
          <w:b w:val="0"/>
          <w:i w:val="0"/>
          <w:sz w:val="28"/>
        </w:rPr>
        <w:t>Екатеринбург, улица 40-летия Комсомола, д. 2Е, кв. 59</w:t>
      </w:r>
    </w:p>
    <w:p>
      <w:pPr>
        <w:jc w:val="left"/>
      </w:pPr>
      <w:r>
        <w:rPr>
          <w:b w:val="0"/>
          <w:i/>
          <w:sz w:val="22"/>
        </w:rPr>
        <w:t>ОГРН 1256600040531    ИНН 6670531375    КПП 667001001</w:t>
      </w:r>
    </w:p>
    <w:p/>
    <w:p/>
    <w:p/>
    <w:p/>
    <w:p/>
    <w:p>
      <w:pPr>
        <w:jc w:val="center"/>
      </w:pPr>
      <w:r>
        <w:rPr>
          <w:b/>
          <w:i w:val="0"/>
          <w:sz w:val="40"/>
        </w:rPr>
        <w:t>Программа «Топливо онлайн»</w:t>
      </w:r>
    </w:p>
    <w:p/>
    <w:p/>
    <w:p>
      <w:pPr>
        <w:jc w:val="center"/>
      </w:pPr>
      <w:r>
        <w:rPr>
          <w:b/>
          <w:i w:val="0"/>
          <w:sz w:val="32"/>
        </w:rPr>
        <w:t>Описание технической архитектуры программного обеспечения</w:t>
      </w:r>
    </w:p>
    <w:p>
      <w:pPr>
        <w:jc w:val="center"/>
      </w:pPr>
      <w:r>
        <w:rPr>
          <w:b w:val="0"/>
          <w:i w:val="0"/>
          <w:sz w:val="28"/>
        </w:rPr>
        <w:t>Описание технических средств хранения исходного текста и объектного кода программного обеспечения, средств компиляции кода</w:t>
      </w:r>
    </w:p>
    <w:p/>
    <w:p/>
    <w:p/>
    <w:p/>
    <w:p/>
    <w:p/>
    <w:p/>
    <w:p/>
    <w:p/>
    <w:p/>
    <w:p>
      <w:pPr>
        <w:jc w:val="center"/>
      </w:pPr>
      <w:r>
        <w:rPr>
          <w:b w:val="0"/>
          <w:i w:val="0"/>
          <w:sz w:val="24"/>
        </w:rPr>
        <w:t>Дата документа: 14.05.2026</w:t>
      </w:r>
    </w:p>
    <w:p>
      <w:pPr>
        <w:jc w:val="center"/>
      </w:pPr>
      <w:r>
        <w:rPr>
          <w:b w:val="0"/>
          <w:i w:val="0"/>
          <w:sz w:val="24"/>
        </w:rPr>
        <w:t>Версия: 1.0</w:t>
      </w:r>
    </w:p>
    <w:p>
      <w:r>
        <w:br w:type="page"/>
      </w:r>
    </w:p>
    <w:p>
      <w:pPr>
        <w:pStyle w:val="Heading1"/>
      </w:pPr>
      <w:bookmarkStart w:id="20" w:name="Xe858c9daa505cb90658982ce6359c182f633731"/>
      <w:r>
        <w:t xml:space="preserve">Архитектура программы «Топливо онлайн» (FuelProcessing)</w:t>
      </w:r>
      <w:bookmarkEnd w:id="20"/>
    </w:p>
    <w:p>
      <w:pPr>
        <w:pStyle w:val="FirstParagraph"/>
      </w:pPr>
      <w:r>
        <w:rPr>
          <w:b/>
        </w:rPr>
        <w:t xml:space="preserve">Правообладатель:</w:t>
      </w:r>
      <w:r>
        <w:t xml:space="preserve"> </w:t>
      </w:r>
      <w:r>
        <w:t xml:space="preserve">Общество с ограниченной ответственностью «Студия Неософт» (ООО «Студия Неософт»)</w:t>
      </w:r>
      <w:r>
        <w:t xml:space="preserve"> </w:t>
      </w:r>
      <w:r>
        <w:rPr>
          <w:b/>
        </w:rPr>
        <w:t xml:space="preserve">Юр. адрес:</w:t>
      </w:r>
      <w:r>
        <w:t xml:space="preserve"> </w:t>
      </w:r>
      <w:r>
        <w:t xml:space="preserve">620092, Свердловская область, г. Екатеринбург, ул. 40-летия Комсомола, д. 2Е, кв. 59</w:t>
      </w:r>
      <w:r>
        <w:t xml:space="preserve"> </w:t>
      </w:r>
      <w:r>
        <w:rPr>
          <w:b/>
        </w:rPr>
        <w:t xml:space="preserve">ОГРН:</w:t>
      </w:r>
      <w:r>
        <w:t xml:space="preserve"> </w:t>
      </w:r>
      <w:r>
        <w:t xml:space="preserve">1256600040531</w:t>
      </w:r>
      <w:r>
        <w:t xml:space="preserve"> </w:t>
      </w:r>
      <w:r>
        <w:rPr>
          <w:b/>
        </w:rPr>
        <w:t xml:space="preserve">ИНН:</w:t>
      </w:r>
      <w:r>
        <w:t xml:space="preserve"> </w:t>
      </w:r>
      <w:r>
        <w:t xml:space="preserve">6670531375</w:t>
      </w:r>
      <w:r>
        <w:t xml:space="preserve"> </w:t>
      </w:r>
      <w:r>
        <w:rPr>
          <w:b/>
        </w:rPr>
        <w:t xml:space="preserve">КПП:</w:t>
      </w:r>
      <w:r>
        <w:t xml:space="preserve"> </w:t>
      </w:r>
      <w:r>
        <w:t xml:space="preserve">667001001</w:t>
      </w:r>
      <w:r>
        <w:t xml:space="preserve"> </w:t>
      </w:r>
      <w:r>
        <w:rPr>
          <w:b/>
        </w:rPr>
        <w:t xml:space="preserve">Дата документа:</w:t>
      </w:r>
      <w:r>
        <w:t xml:space="preserve"> </w:t>
      </w:r>
      <w:r>
        <w:t xml:space="preserve">2026-05-14</w:t>
      </w:r>
      <w:r>
        <w:t xml:space="preserve"> </w:t>
      </w:r>
      <w:r>
        <w:rPr>
          <w:b/>
        </w:rPr>
        <w:t xml:space="preserve">Версия:</w:t>
      </w:r>
      <w:r>
        <w:t xml:space="preserve"> </w:t>
      </w:r>
      <w:r>
        <w:t xml:space="preserve">1.0</w:t>
      </w:r>
    </w:p>
    <w:p>
      <w:pPr>
        <w:pStyle w:val="BlockText"/>
      </w:pPr>
      <w:r>
        <w:t xml:space="preserve">Документ описывает техническую архитектуру ПО «Топливо онлайн», технические средства хранения исходного кода и средства его компиляции. Подготовлен для включения в Реестр Российского ПО (Минцифры).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оглавление"/>
      <w:r>
        <w:t xml:space="preserve">Оглавление</w:t>
      </w:r>
      <w:bookmarkEnd w:id="21"/>
    </w:p>
    <w:p>
      <w:pPr>
        <w:numPr>
          <w:ilvl w:val="0"/>
          <w:numId w:val="1001"/>
        </w:numPr>
        <w:pStyle w:val="Compact"/>
      </w:pPr>
      <w:hyperlink w:anchor="X1d07a7300401b67898ff9f3e01cb2c1beb56517">
        <w:r>
          <w:rPr>
            <w:rStyle w:val="Hyperlink"/>
          </w:rPr>
          <w:t xml:space="preserve">Архитектура</w:t>
        </w:r>
      </w:hyperlink>
    </w:p>
    <w:p>
      <w:pPr>
        <w:numPr>
          <w:ilvl w:val="0"/>
          <w:numId w:val="1001"/>
        </w:numPr>
        <w:pStyle w:val="Compact"/>
      </w:pPr>
      <w:hyperlink w:anchor="X89216e890b54053f197fdf2f50729828450c281">
        <w:r>
          <w:rPr>
            <w:rStyle w:val="Hyperlink"/>
          </w:rPr>
          <w:t xml:space="preserve">Технические требования</w:t>
        </w:r>
      </w:hyperlink>
    </w:p>
    <w:p>
      <w:pPr>
        <w:numPr>
          <w:ilvl w:val="0"/>
          <w:numId w:val="1001"/>
        </w:numPr>
        <w:pStyle w:val="Compact"/>
      </w:pPr>
      <w:hyperlink w:anchor="X1d4de2dc2f77686a0b4e9fbd7b2f1cf4b03c733">
        <w:r>
          <w:rPr>
            <w:rStyle w:val="Hyperlink"/>
          </w:rPr>
          <w:t xml:space="preserve">Описание технических средств хранения исходного текста и объектного кода ПО, средств компиляции кода</w:t>
        </w:r>
      </w:hyperlink>
    </w:p>
    <w:p>
      <w:pPr>
        <w:numPr>
          <w:ilvl w:val="0"/>
          <w:numId w:val="1001"/>
        </w:numPr>
        <w:pStyle w:val="Compact"/>
      </w:pPr>
      <w:hyperlink w:anchor="X1e5c4712094ffebad8fa0c25df9feff2cf8df43">
        <w:r>
          <w:rPr>
            <w:rStyle w:val="Hyperlink"/>
          </w:rPr>
          <w:t xml:space="preserve">Лицензирование сторонних компонентов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архитектура"/>
      <w:r>
        <w:t xml:space="preserve">1. Архитектура</w:t>
      </w:r>
      <w:bookmarkEnd w:id="22"/>
    </w:p>
    <w:p>
      <w:pPr>
        <w:pStyle w:val="FirstParagraph"/>
      </w:pPr>
      <w:r>
        <w:t xml:space="preserve">Программный продукт «Топливо онлайн» построен по принципу</w:t>
      </w:r>
      <w:r>
        <w:t xml:space="preserve"> </w:t>
      </w:r>
      <w:r>
        <w:rPr>
          <w:b/>
        </w:rPr>
        <w:t xml:space="preserve">многозвенной (N-layer) сервисной архитектуры</w:t>
      </w:r>
      <w:r>
        <w:t xml:space="preserve"> </w:t>
      </w:r>
      <w:r>
        <w:t xml:space="preserve">с разделением на слои представления, прикладной, доменный и инфраструктурный. Пользовательский интерфейс реализован как «тонкий» web-клиент, доступный из любого современного браузера, что обеспечивает кроссплатформенность рабочих мест.</w:t>
      </w:r>
    </w:p>
    <w:p>
      <w:pPr>
        <w:pStyle w:val="Heading3"/>
      </w:pPr>
      <w:bookmarkStart w:id="23" w:name="состав-компонентов"/>
      <w:r>
        <w:t xml:space="preserve">1.1. Состав компонентов</w:t>
      </w:r>
      <w:bookmarkEnd w:id="23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Компонент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Назначение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Технологический стек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FuelProcessing.Web</w:t>
            </w:r>
          </w:p>
        </w:tc>
        <w:tc>
          <w:p>
            <w:pPr>
              <w:pStyle w:val="Compact"/>
              <w:jc w:val="left"/>
            </w:pPr>
            <w:r>
              <w:t xml:space="preserve">Веб-приложение для администраторов и менеджеров</w:t>
            </w:r>
          </w:p>
        </w:tc>
        <w:tc>
          <w:p>
            <w:pPr>
              <w:pStyle w:val="Compact"/>
              <w:jc w:val="left"/>
            </w:pPr>
            <w:r>
              <w:t xml:space="preserve">ASP.NET Core 5 MVC + Vue.js 3 + Webpack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FuelProcessing.Api</w:t>
            </w:r>
          </w:p>
        </w:tc>
        <w:tc>
          <w:p>
            <w:pPr>
              <w:pStyle w:val="Compact"/>
              <w:jc w:val="left"/>
            </w:pPr>
            <w:r>
              <w:t xml:space="preserve">Внутренний REST API</w:t>
            </w:r>
          </w:p>
        </w:tc>
        <w:tc>
          <w:p>
            <w:pPr>
              <w:pStyle w:val="Compact"/>
              <w:jc w:val="left"/>
            </w:pPr>
            <w:r>
              <w:t xml:space="preserve">ASP.NET Core 5 Web API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FuelProcessing.ClientApi</w:t>
            </w:r>
          </w:p>
        </w:tc>
        <w:tc>
          <w:p>
            <w:pPr>
              <w:pStyle w:val="Compact"/>
              <w:jc w:val="left"/>
            </w:pPr>
            <w:r>
              <w:t xml:space="preserve">Внешний REST API для клиентов-интеграторов</w:t>
            </w:r>
          </w:p>
        </w:tc>
        <w:tc>
          <w:p>
            <w:pPr>
              <w:pStyle w:val="Compact"/>
              <w:jc w:val="left"/>
            </w:pPr>
            <w:r>
              <w:t xml:space="preserve">ASP.NET Core 5 Web API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FuelProcessing.TransactionHandler</w:t>
            </w:r>
          </w:p>
        </w:tc>
        <w:tc>
          <w:p>
            <w:pPr>
              <w:pStyle w:val="Compact"/>
              <w:jc w:val="left"/>
            </w:pPr>
            <w:r>
              <w:t xml:space="preserve">Фоновый воркер обработки транзакций</w:t>
            </w:r>
          </w:p>
        </w:tc>
        <w:tc>
          <w:p>
            <w:pPr>
              <w:pStyle w:val="Compact"/>
              <w:jc w:val="left"/>
            </w:pPr>
            <w:r>
              <w:t xml:space="preserve">.NET 5 hosted service + RabbitMQ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FuelProcessing.ReportGenerationHandler</w:t>
            </w:r>
          </w:p>
        </w:tc>
        <w:tc>
          <w:p>
            <w:pPr>
              <w:pStyle w:val="Compact"/>
              <w:jc w:val="left"/>
            </w:pPr>
            <w:r>
              <w:t xml:space="preserve">Фоновый воркер генерации отчётов</w:t>
            </w:r>
          </w:p>
        </w:tc>
        <w:tc>
          <w:p>
            <w:pPr>
              <w:pStyle w:val="Compact"/>
              <w:jc w:val="left"/>
            </w:pPr>
            <w:r>
              <w:t xml:space="preserve">.NET 5 hosted service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FuelProcessing.Core</w:t>
            </w:r>
          </w:p>
        </w:tc>
        <w:tc>
          <w:p>
            <w:pPr>
              <w:pStyle w:val="Compact"/>
              <w:jc w:val="left"/>
            </w:pPr>
            <w:r>
              <w:t xml:space="preserve">Доменные модели и бизнес-логика</w:t>
            </w:r>
          </w:p>
        </w:tc>
        <w:tc>
          <w:p>
            <w:pPr>
              <w:pStyle w:val="Compact"/>
              <w:jc w:val="left"/>
            </w:pPr>
            <w:r>
              <w:t xml:space="preserve">.NET 5 class library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FuelProcessing.Data</w:t>
            </w:r>
          </w:p>
        </w:tc>
        <w:tc>
          <w:p>
            <w:pPr>
              <w:pStyle w:val="Compact"/>
              <w:jc w:val="left"/>
            </w:pPr>
            <w:r>
              <w:t xml:space="preserve">Слой доступа к данным (репозитории, миграции)</w:t>
            </w:r>
          </w:p>
        </w:tc>
        <w:tc>
          <w:p>
            <w:pPr>
              <w:pStyle w:val="Compact"/>
              <w:jc w:val="left"/>
            </w:pPr>
            <w:r>
              <w:t xml:space="preserve">Entity Framework Core 5, PostgreSQL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Интеграционные клиенты (11 шт)</w:t>
            </w:r>
          </w:p>
        </w:tc>
        <w:tc>
          <w:p>
            <w:pPr>
              <w:pStyle w:val="Compact"/>
              <w:jc w:val="left"/>
            </w:pPr>
            <w:r>
              <w:t xml:space="preserve">Адаптеры к API ВИНК: Татнефть, Газпромнефть, Лукойл, Роснефть, Вездеход, НатКар, Инфорком, АСМАП, ТаифНК, Трасса и др.</w:t>
            </w:r>
          </w:p>
        </w:tc>
        <w:tc>
          <w:p>
            <w:pPr>
              <w:pStyle w:val="Compact"/>
              <w:jc w:val="left"/>
            </w:pPr>
            <w:r>
              <w:t xml:space="preserve">.NET 5 class library, HttpClient</w:t>
            </w:r>
          </w:p>
        </w:tc>
      </w:tr>
    </w:tbl>
    <w:p>
      <w:pPr>
        <w:pStyle w:val="Heading3"/>
      </w:pPr>
      <w:bookmarkStart w:id="24" w:name="схема-развёртывания"/>
      <w:r>
        <w:t xml:space="preserve">1.2. Схема развёртывания</w:t>
      </w:r>
      <w:bookmarkEnd w:id="24"/>
    </w:p>
    <w:p>
      <w:pPr>
        <w:pStyle w:val="SourceCode"/>
      </w:pPr>
      <w:r>
        <w:rPr>
          <w:rStyle w:val="VerbatimChar"/>
        </w:rPr>
        <w:t xml:space="preserve">                    [Браузер пользователя]</w:t>
      </w:r>
      <w:r>
        <w:br/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                            ▼ HTTPS</w:t>
      </w:r>
      <w:r>
        <w:br/>
      </w:r>
      <w:r>
        <w:rPr>
          <w:rStyle w:val="VerbatimChar"/>
        </w:rPr>
        <w:t xml:space="preserve">                       [Nginx (TLS)]</w:t>
      </w:r>
      <w:r>
        <w:br/>
      </w:r>
      <w:r>
        <w:rPr>
          <w:rStyle w:val="VerbatimChar"/>
        </w:rPr>
        <w:t xml:space="preserve">                ┌─────────────┼─────────────┐</w:t>
      </w:r>
      <w:r>
        <w:br/>
      </w:r>
      <w:r>
        <w:rPr>
          <w:rStyle w:val="VerbatimChar"/>
        </w:rPr>
        <w:t xml:space="preserve">                ▼             ▼             ▼</w:t>
      </w:r>
      <w:r>
        <w:br/>
      </w:r>
      <w:r>
        <w:rPr>
          <w:rStyle w:val="VerbatimChar"/>
        </w:rPr>
        <w:t xml:space="preserve">       FuelProcessing.Web  .Api  .ClientApi   (Docker контейнеры на ASP.NET Core 5)</w:t>
      </w:r>
      <w:r>
        <w:br/>
      </w:r>
      <w:r>
        <w:rPr>
          <w:rStyle w:val="VerbatimChar"/>
        </w:rPr>
        <w:t xml:space="preserve">                └──────┬──────────┬──────────┘</w:t>
      </w:r>
      <w:r>
        <w:br/>
      </w:r>
      <w:r>
        <w:rPr>
          <w:rStyle w:val="VerbatimChar"/>
        </w:rPr>
        <w:t xml:space="preserve">                       │          │</w:t>
      </w:r>
      <w:r>
        <w:br/>
      </w:r>
      <w:r>
        <w:rPr>
          <w:rStyle w:val="VerbatimChar"/>
        </w:rPr>
        <w:t xml:space="preserve">                       ▼          ▼</w:t>
      </w:r>
      <w:r>
        <w:br/>
      </w:r>
      <w:r>
        <w:rPr>
          <w:rStyle w:val="VerbatimChar"/>
        </w:rPr>
        <w:t xml:space="preserve">                 [PostgreSQL]  [RabbitMQ]</w:t>
      </w:r>
      <w:r>
        <w:br/>
      </w:r>
      <w:r>
        <w:rPr>
          <w:rStyle w:val="VerbatimChar"/>
        </w:rPr>
        <w:t xml:space="preserve">                       ▲          │</w:t>
      </w:r>
      <w:r>
        <w:br/>
      </w:r>
      <w:r>
        <w:rPr>
          <w:rStyle w:val="VerbatimChar"/>
        </w:rPr>
        <w:t xml:space="preserve">                       │          ▼</w:t>
      </w:r>
      <w:r>
        <w:br/>
      </w:r>
      <w:r>
        <w:rPr>
          <w:rStyle w:val="VerbatimChar"/>
        </w:rPr>
        <w:t xml:space="preserve">        [TransactionHandler]  [ReportGenerationHandler]</w:t>
      </w:r>
      <w:r>
        <w:br/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                       ▼</w:t>
      </w:r>
      <w:r>
        <w:br/>
      </w:r>
      <w:r>
        <w:rPr>
          <w:rStyle w:val="VerbatimChar"/>
        </w:rPr>
        <w:t xml:space="preserve">                  [API ВИНК]  (внешние, по HTTPS)</w:t>
      </w:r>
    </w:p>
    <w:p>
      <w:pPr>
        <w:pStyle w:val="FirstParagraph"/>
      </w:pPr>
      <w:r>
        <w:t xml:space="preserve">Для каждого корпоративного клиента поднимается изолированный экземпляр приложения с собственной БД и собственным набором интеграционных ключей.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технические-требования"/>
      <w:r>
        <w:t xml:space="preserve">2. Технические требования</w:t>
      </w:r>
      <w:bookmarkEnd w:id="25"/>
    </w:p>
    <w:p>
      <w:pPr>
        <w:pStyle w:val="Heading3"/>
      </w:pPr>
      <w:bookmarkStart w:id="26" w:name="сервер-бэкенд"/>
      <w:r>
        <w:t xml:space="preserve">2.1. Сервер (бэкенд)</w:t>
      </w:r>
      <w:bookmarkEnd w:id="26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Минимум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Рекомендуется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Процессор</w:t>
            </w:r>
          </w:p>
        </w:tc>
        <w:tc>
          <w:p>
            <w:pPr>
              <w:pStyle w:val="Compact"/>
              <w:jc w:val="left"/>
            </w:pPr>
            <w:r>
              <w:t xml:space="preserve">4 ядра x86-64</w:t>
            </w:r>
          </w:p>
        </w:tc>
        <w:tc>
          <w:p>
            <w:pPr>
              <w:pStyle w:val="Compact"/>
              <w:jc w:val="left"/>
            </w:pPr>
            <w:r>
              <w:t xml:space="preserve">8 ядер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RAM</w:t>
            </w:r>
          </w:p>
        </w:tc>
        <w:tc>
          <w:p>
            <w:pPr>
              <w:pStyle w:val="Compact"/>
              <w:jc w:val="left"/>
            </w:pPr>
            <w:r>
              <w:t xml:space="preserve">16 ГБ</w:t>
            </w:r>
          </w:p>
        </w:tc>
        <w:tc>
          <w:p>
            <w:pPr>
              <w:pStyle w:val="Compact"/>
              <w:jc w:val="left"/>
            </w:pPr>
            <w:r>
              <w:t xml:space="preserve">32 ГБ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Дисковое пространство</w:t>
            </w:r>
          </w:p>
        </w:tc>
        <w:tc>
          <w:p>
            <w:pPr>
              <w:pStyle w:val="Compact"/>
              <w:jc w:val="left"/>
            </w:pPr>
            <w:r>
              <w:t xml:space="preserve">200 ГБ SSD</w:t>
            </w:r>
          </w:p>
        </w:tc>
        <w:tc>
          <w:p>
            <w:pPr>
              <w:pStyle w:val="Compact"/>
              <w:jc w:val="left"/>
            </w:pPr>
            <w:r>
              <w:t xml:space="preserve">500 ГБ SSD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Операционная система</w:t>
            </w:r>
          </w:p>
        </w:tc>
        <w:tc>
          <w:p>
            <w:pPr>
              <w:pStyle w:val="Compact"/>
              <w:jc w:val="left"/>
            </w:pPr>
            <w:r>
              <w:t xml:space="preserve">Linux (Debian 11+, Ubuntu 20.04+, Astra Linux SE 1.7+)</w:t>
            </w:r>
          </w:p>
        </w:tc>
        <w:tc>
          <w:p>
            <w:pPr>
              <w:pStyle w:val="Compact"/>
              <w:jc w:val="left"/>
            </w:pPr>
            <w:r>
              <w:t xml:space="preserve">Linux Debian 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Среда исполнения</w:t>
            </w:r>
          </w:p>
        </w:tc>
        <w:tc>
          <w:p>
            <w:pPr>
              <w:pStyle w:val="Compact"/>
              <w:jc w:val="left"/>
            </w:pPr>
            <w:r>
              <w:t xml:space="preserve">Docker 20+ и Docker Compose v2</w:t>
            </w:r>
          </w:p>
        </w:tc>
        <w:tc>
          <w:p>
            <w:pPr>
              <w:pStyle w:val="Compact"/>
              <w:jc w:val="left"/>
            </w:pPr>
            <w:r>
              <w:t xml:space="preserve">Docker 24+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СУБД</w:t>
            </w:r>
          </w:p>
        </w:tc>
        <w:tc>
          <w:p>
            <w:pPr>
              <w:pStyle w:val="Compact"/>
              <w:jc w:val="left"/>
            </w:pPr>
            <w:r>
              <w:t xml:space="preserve">PostgreSQL 13+</w:t>
            </w:r>
          </w:p>
        </w:tc>
        <w:tc>
          <w:p>
            <w:pPr>
              <w:pStyle w:val="Compact"/>
              <w:jc w:val="left"/>
            </w:pPr>
            <w:r>
              <w:t xml:space="preserve">PostgreSQL 15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Брокер сообщений</w:t>
            </w:r>
          </w:p>
        </w:tc>
        <w:tc>
          <w:p>
            <w:pPr>
              <w:pStyle w:val="Compact"/>
              <w:jc w:val="left"/>
            </w:pPr>
            <w:r>
              <w:t xml:space="preserve">RabbitMQ 3.10+</w:t>
            </w:r>
          </w:p>
        </w:tc>
        <w:tc>
          <w:p>
            <w:pPr>
              <w:pStyle w:val="Compact"/>
              <w:jc w:val="left"/>
            </w:pPr>
            <w:r>
              <w:t xml:space="preserve">RabbitMQ 3.12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Каналы связи</w:t>
            </w:r>
          </w:p>
        </w:tc>
        <w:tc>
          <w:p>
            <w:pPr>
              <w:pStyle w:val="Compact"/>
              <w:jc w:val="left"/>
            </w:pPr>
            <w:r>
              <w:t xml:space="preserve">100 Мбит/с</w:t>
            </w:r>
          </w:p>
        </w:tc>
        <w:tc>
          <w:p>
            <w:pPr>
              <w:pStyle w:val="Compact"/>
              <w:jc w:val="left"/>
            </w:pPr>
            <w:r>
              <w:t xml:space="preserve">1 Гбит/с</w:t>
            </w:r>
          </w:p>
        </w:tc>
      </w:tr>
    </w:tbl>
    <w:p>
      <w:pPr>
        <w:pStyle w:val="Heading3"/>
      </w:pPr>
      <w:bookmarkStart w:id="27" w:name="клиентские-машины"/>
      <w:r>
        <w:t xml:space="preserve">2.2. Клиентские машины</w:t>
      </w:r>
      <w:bookmarkEnd w:id="27"/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Требование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Процессор</w:t>
            </w:r>
          </w:p>
        </w:tc>
        <w:tc>
          <w:p>
            <w:pPr>
              <w:pStyle w:val="Compact"/>
              <w:jc w:val="left"/>
            </w:pPr>
            <w:r>
              <w:t xml:space="preserve">2 ядра x86-64 или ARM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RAM</w:t>
            </w:r>
          </w:p>
        </w:tc>
        <w:tc>
          <w:p>
            <w:pPr>
              <w:pStyle w:val="Compact"/>
              <w:jc w:val="left"/>
            </w:pPr>
            <w:r>
              <w:t xml:space="preserve">4 ГБ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ОС</w:t>
            </w:r>
          </w:p>
        </w:tc>
        <w:tc>
          <w:p>
            <w:pPr>
              <w:pStyle w:val="Compact"/>
              <w:jc w:val="left"/>
            </w:pPr>
            <w:r>
              <w:t xml:space="preserve">Windows 10/11, Linux (Ubuntu, RedHat, Astra Linux), macOS 12+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Браузер</w:t>
            </w:r>
          </w:p>
        </w:tc>
        <w:tc>
          <w:p>
            <w:pPr>
              <w:pStyle w:val="Compact"/>
              <w:jc w:val="left"/>
            </w:pPr>
            <w:r>
              <w:t xml:space="preserve">Google Chrome, Mozilla Firefox, Yandex Browser, Microsoft Edge — актуальные версии</w:t>
            </w:r>
          </w:p>
        </w:tc>
      </w:tr>
    </w:tbl>
    <w:p>
      <w:pPr>
        <w:pStyle w:val="Heading3"/>
      </w:pPr>
      <w:bookmarkStart w:id="28" w:name="производительность"/>
      <w:r>
        <w:t xml:space="preserve">2.3. Производительность</w:t>
      </w:r>
      <w:bookmarkEnd w:id="28"/>
    </w:p>
    <w:p>
      <w:pPr>
        <w:numPr>
          <w:ilvl w:val="0"/>
          <w:numId w:val="1002"/>
        </w:numPr>
        <w:pStyle w:val="Compact"/>
      </w:pPr>
      <w:r>
        <w:t xml:space="preserve">Один экземпляр приложения обслуживает до</w:t>
      </w:r>
      <w:r>
        <w:t xml:space="preserve"> </w:t>
      </w:r>
      <w:r>
        <w:rPr>
          <w:b/>
        </w:rPr>
        <w:t xml:space="preserve">10 000 пользователей</w:t>
      </w:r>
      <w:r>
        <w:t xml:space="preserve"> </w:t>
      </w:r>
      <w:r>
        <w:t xml:space="preserve">одновременно.</w:t>
      </w:r>
    </w:p>
    <w:p>
      <w:pPr>
        <w:numPr>
          <w:ilvl w:val="0"/>
          <w:numId w:val="1002"/>
        </w:numPr>
        <w:pStyle w:val="Compact"/>
      </w:pPr>
      <w:r>
        <w:t xml:space="preserve">Среднее время отклика API при нормальной нагрузке —</w:t>
      </w:r>
      <w:r>
        <w:t xml:space="preserve"> </w:t>
      </w:r>
      <w:r>
        <w:rPr>
          <w:b/>
        </w:rPr>
        <w:t xml:space="preserve">&lt; 200 мс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Пакетная обработка транзакций —</w:t>
      </w:r>
      <w:r>
        <w:t xml:space="preserve"> </w:t>
      </w:r>
      <w:r>
        <w:rPr>
          <w:b/>
        </w:rPr>
        <w:t xml:space="preserve">до 100 000 транзакций/час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описание-технических-средств"/>
      <w:r>
        <w:t xml:space="preserve">3. Описание технических средств</w:t>
      </w:r>
      <w:bookmarkEnd w:id="29"/>
    </w:p>
    <w:p>
      <w:pPr>
        <w:pStyle w:val="Heading3"/>
      </w:pPr>
      <w:bookmarkStart w:id="30" w:name="хранение-исходного-текста"/>
      <w:r>
        <w:t xml:space="preserve">3.1. Хранение исходного текста</w:t>
      </w:r>
      <w:bookmarkEnd w:id="30"/>
    </w:p>
    <w:p>
      <w:pPr>
        <w:pStyle w:val="FirstParagraph"/>
      </w:pPr>
      <w:r>
        <w:t xml:space="preserve">Весь исходный код программы хранится в</w:t>
      </w:r>
      <w:r>
        <w:t xml:space="preserve"> </w:t>
      </w:r>
      <w:r>
        <w:rPr>
          <w:b/>
        </w:rPr>
        <w:t xml:space="preserve">Git-репозитории</w:t>
      </w:r>
      <w:r>
        <w:t xml:space="preserve"> </w:t>
      </w:r>
      <w:r>
        <w:t xml:space="preserve">правообладателя, размещённом на серверах в</w:t>
      </w:r>
      <w:r>
        <w:t xml:space="preserve"> </w:t>
      </w:r>
      <w:r>
        <w:rPr>
          <w:b/>
        </w:rPr>
        <w:t xml:space="preserve">ЦОД на территории Российской Федерации</w:t>
      </w:r>
      <w:r>
        <w:t xml:space="preserve">. Трансграничная передача данных не осуществляется.</w:t>
      </w:r>
    </w:p>
    <w:p>
      <w:pPr>
        <w:pStyle w:val="BodyText"/>
      </w:pPr>
      <w:r>
        <w:t xml:space="preserve">Используемое программное обеспечение для хранения и контроля версий: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GitLab Community Edition</w:t>
      </w:r>
      <w:r>
        <w:t xml:space="preserve"> </w:t>
      </w:r>
      <w:r>
        <w:t xml:space="preserve">— система контроля версий и хостинга проектов.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Git 2.x</w:t>
      </w:r>
      <w:r>
        <w:t xml:space="preserve"> </w:t>
      </w:r>
      <w:r>
        <w:t xml:space="preserve">— клиент системы контроля версий.</w:t>
      </w:r>
    </w:p>
    <w:p>
      <w:pPr>
        <w:pStyle w:val="Heading3"/>
      </w:pPr>
      <w:bookmarkStart w:id="31" w:name="хранение-объектного-кода"/>
      <w:r>
        <w:t xml:space="preserve">3.2. Хранение объектного кода</w:t>
      </w:r>
      <w:bookmarkEnd w:id="31"/>
    </w:p>
    <w:p>
      <w:pPr>
        <w:pStyle w:val="FirstParagraph"/>
      </w:pPr>
      <w:r>
        <w:t xml:space="preserve">Скомпилированные образы Docker хранятся в локальном Docker Registry и на продуктивных серверах правообладателя. ЦОД — на территории РФ.</w:t>
      </w:r>
    </w:p>
    <w:p>
      <w:pPr>
        <w:pStyle w:val="Heading3"/>
      </w:pPr>
      <w:bookmarkStart w:id="32" w:name="средства-компиляции"/>
      <w:r>
        <w:t xml:space="preserve">3.3. Средства компиляции</w:t>
      </w:r>
      <w:bookmarkEnd w:id="32"/>
    </w:p>
    <w:p>
      <w:pPr>
        <w:pStyle w:val="FirstParagraph"/>
      </w:pPr>
      <w:r>
        <w:t xml:space="preserve">Компиляция исходного кода производится</w:t>
      </w:r>
      <w:r>
        <w:t xml:space="preserve"> </w:t>
      </w:r>
      <w:r>
        <w:rPr>
          <w:b/>
        </w:rPr>
        <w:t xml:space="preserve">на серверах правообладателя</w:t>
      </w:r>
      <w:r>
        <w:t xml:space="preserve"> </w:t>
      </w:r>
      <w:r>
        <w:t xml:space="preserve">(GitLab CI Runner, размещённый в ЦОД на территории РФ). Используемые средства: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.NET SDK 5.0</w:t>
      </w:r>
      <w:r>
        <w:t xml:space="preserve"> </w:t>
      </w:r>
      <w:r>
        <w:t xml:space="preserve">— компилятор C#, MSBuild для сборки .NET-проектов (открытый исходный код, лицензия MIT).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Yarn 1.x</w:t>
      </w:r>
      <w:r>
        <w:t xml:space="preserve"> </w:t>
      </w:r>
      <w:r>
        <w:t xml:space="preserve">+</w:t>
      </w:r>
      <w:r>
        <w:t xml:space="preserve"> </w:t>
      </w:r>
      <w:r>
        <w:rPr>
          <w:b/>
        </w:rPr>
        <w:t xml:space="preserve">Webpack 5</w:t>
      </w:r>
      <w:r>
        <w:t xml:space="preserve"> </w:t>
      </w:r>
      <w:r>
        <w:t xml:space="preserve">— сборщики фронтенда (открытый исходный код, MIT).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Docker Engine</w:t>
      </w:r>
      <w:r>
        <w:t xml:space="preserve"> </w:t>
      </w:r>
      <w:r>
        <w:t xml:space="preserve">— сборка контейнерных образов.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GitLab Runner</w:t>
      </w:r>
      <w:r>
        <w:t xml:space="preserve"> </w:t>
      </w:r>
      <w:r>
        <w:t xml:space="preserve">— оркестратор CI/CD-пайплайна.</w:t>
      </w:r>
    </w:p>
    <w:p>
      <w:pPr>
        <w:pStyle w:val="FirstParagraph"/>
      </w:pPr>
      <w:r>
        <w:t xml:space="preserve">Конвейер сборки определён в файле</w:t>
      </w:r>
      <w:r>
        <w:t xml:space="preserve"> </w:t>
      </w:r>
      <w:r>
        <w:rPr>
          <w:rStyle w:val="VerbatimChar"/>
        </w:rPr>
        <w:t xml:space="preserve">.gitlab-ci.yml</w:t>
      </w:r>
      <w:r>
        <w:t xml:space="preserve"> </w:t>
      </w:r>
      <w:r>
        <w:t xml:space="preserve">и состоит из трёх стадий:</w:t>
      </w:r>
      <w:r>
        <w:t xml:space="preserve"> </w:t>
      </w:r>
      <w:r>
        <w:rPr>
          <w:rStyle w:val="VerbatimChar"/>
        </w:rPr>
        <w:t xml:space="preserve">test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build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deploy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лицензирование-сторонних-компонентов"/>
      <w:r>
        <w:t xml:space="preserve">4. Лицензирование сторонних компонентов</w:t>
      </w:r>
      <w:bookmarkEnd w:id="3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Компонент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Лицензия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Назначение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.NET 5 / ASP.NET Core 5</w:t>
            </w:r>
          </w:p>
        </w:tc>
        <w:tc>
          <w:p>
            <w:pPr>
              <w:pStyle w:val="Compact"/>
              <w:jc w:val="left"/>
            </w:pPr>
            <w:r>
              <w:t xml:space="preserve">MIT</w:t>
            </w:r>
          </w:p>
        </w:tc>
        <w:tc>
          <w:p>
            <w:pPr>
              <w:pStyle w:val="Compact"/>
              <w:jc w:val="left"/>
            </w:pPr>
            <w:r>
              <w:t xml:space="preserve">Серверная платформа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Entity Framework Core</w:t>
            </w:r>
          </w:p>
        </w:tc>
        <w:tc>
          <w:p>
            <w:pPr>
              <w:pStyle w:val="Compact"/>
              <w:jc w:val="left"/>
            </w:pPr>
            <w:r>
              <w:t xml:space="preserve">MIT</w:t>
            </w:r>
          </w:p>
        </w:tc>
        <w:tc>
          <w:p>
            <w:pPr>
              <w:pStyle w:val="Compact"/>
              <w:jc w:val="left"/>
            </w:pPr>
            <w:r>
              <w:t xml:space="preserve">ORM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Vue.js 3</w:t>
            </w:r>
          </w:p>
        </w:tc>
        <w:tc>
          <w:p>
            <w:pPr>
              <w:pStyle w:val="Compact"/>
              <w:jc w:val="left"/>
            </w:pPr>
            <w:r>
              <w:t xml:space="preserve">MIT</w:t>
            </w:r>
          </w:p>
        </w:tc>
        <w:tc>
          <w:p>
            <w:pPr>
              <w:pStyle w:val="Compact"/>
              <w:jc w:val="left"/>
            </w:pPr>
            <w:r>
              <w:t xml:space="preserve">Фронтенд-фреймворк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Webpack</w:t>
            </w:r>
          </w:p>
        </w:tc>
        <w:tc>
          <w:p>
            <w:pPr>
              <w:pStyle w:val="Compact"/>
              <w:jc w:val="left"/>
            </w:pPr>
            <w:r>
              <w:t xml:space="preserve">MIT</w:t>
            </w:r>
          </w:p>
        </w:tc>
        <w:tc>
          <w:p>
            <w:pPr>
              <w:pStyle w:val="Compact"/>
              <w:jc w:val="left"/>
            </w:pPr>
            <w:r>
              <w:t xml:space="preserve">Сборщик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PostgreSQL</w:t>
            </w:r>
          </w:p>
        </w:tc>
        <w:tc>
          <w:p>
            <w:pPr>
              <w:pStyle w:val="Compact"/>
              <w:jc w:val="left"/>
            </w:pPr>
            <w:r>
              <w:t xml:space="preserve">PostgreSQL License</w:t>
            </w:r>
          </w:p>
        </w:tc>
        <w:tc>
          <w:p>
            <w:pPr>
              <w:pStyle w:val="Compact"/>
              <w:jc w:val="left"/>
            </w:pPr>
            <w:r>
              <w:t xml:space="preserve">СУБД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RabbitMQ</w:t>
            </w:r>
          </w:p>
        </w:tc>
        <w:tc>
          <w:p>
            <w:pPr>
              <w:pStyle w:val="Compact"/>
              <w:jc w:val="left"/>
            </w:pPr>
            <w:r>
              <w:t xml:space="preserve">MPL 2.0</w:t>
            </w:r>
          </w:p>
        </w:tc>
        <w:tc>
          <w:p>
            <w:pPr>
              <w:pStyle w:val="Compact"/>
              <w:jc w:val="left"/>
            </w:pPr>
            <w:r>
              <w:t xml:space="preserve">Брокер сообщений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Nginx</w:t>
            </w:r>
          </w:p>
        </w:tc>
        <w:tc>
          <w:p>
            <w:pPr>
              <w:pStyle w:val="Compact"/>
              <w:jc w:val="left"/>
            </w:pPr>
            <w:r>
              <w:t xml:space="preserve">BSD-2-Clause</w:t>
            </w:r>
          </w:p>
        </w:tc>
        <w:tc>
          <w:p>
            <w:pPr>
              <w:pStyle w:val="Compact"/>
              <w:jc w:val="left"/>
            </w:pPr>
            <w:r>
              <w:t xml:space="preserve">Веб-сервер / прокси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Docker</w:t>
            </w:r>
          </w:p>
        </w:tc>
        <w:tc>
          <w:p>
            <w:pPr>
              <w:pStyle w:val="Compact"/>
              <w:jc w:val="left"/>
            </w:pPr>
            <w:r>
              <w:t xml:space="preserve">Apache 2.0</w:t>
            </w:r>
          </w:p>
        </w:tc>
        <w:tc>
          <w:p>
            <w:pPr>
              <w:pStyle w:val="Compact"/>
              <w:jc w:val="left"/>
            </w:pPr>
            <w:r>
              <w:t xml:space="preserve">Контейнеризация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GitLab CE</w:t>
            </w:r>
          </w:p>
        </w:tc>
        <w:tc>
          <w:p>
            <w:pPr>
              <w:pStyle w:val="Compact"/>
              <w:jc w:val="left"/>
            </w:pPr>
            <w:r>
              <w:t xml:space="preserve">MIT</w:t>
            </w:r>
          </w:p>
        </w:tc>
        <w:tc>
          <w:p>
            <w:pPr>
              <w:pStyle w:val="Compact"/>
              <w:jc w:val="left"/>
            </w:pPr>
            <w:r>
              <w:t xml:space="preserve">Хранение исходников и CI/CD</w:t>
            </w:r>
          </w:p>
        </w:tc>
      </w:tr>
    </w:tbl>
    <w:p>
      <w:pPr>
        <w:pStyle w:val="BodyText"/>
      </w:pPr>
      <w:r>
        <w:t xml:space="preserve">Все указанные компоненты — свободное ПО с открытым исходным кодом. Лицензионных ограничений для включения «Топливо онлайн» в Реестр Российского ПО не выявлено.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2026-05-14T14:00:06Z</dcterms:created>
  <dcterms:modified xsi:type="dcterms:W3CDTF">2026-05-14T14:00:06Z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